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  <w:t xml:space="preserve">NÁVOD K OBSLUZE – KANCELÁ</w:t>
      </w:r>
      <w:r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  <w:t xml:space="preserve">ŘSKÁ ŽIDLE – FLORIDA</w:t>
      </w:r>
    </w:p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924" w:dyaOrig="4320">
          <v:rect xmlns:o="urn:schemas-microsoft-com:office:office" xmlns:v="urn:schemas-microsoft-com:vml" id="rectole0000000000" style="width:146.200000pt;height:216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ěkujeme, že jste si zakoupili kancelářskou židli u naší společnosti. Před rozbalením, sestavením a používáním židle si pečlivě prostudujte tento návod k obsluze. Návod si pečlivě uschovejte pro možnost pozdějšího nahlédnutí. Pokud židli někomu darujete nebo zapůjčíte, vždy mu ji předejte včetně tohoto návodu. Židle není určena pro komerční účely.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VŠEOBECNÉ UPOZORN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ĚNÍ: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 sestavením a používáním pečlivě prostudujte tento návod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židli opatrn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vyjměte z krabice, nikdy nepoužívejte pro otevření ostré předměty, které by mohli jednotlivé díly poškodit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zkontrolujte, že balení obsahuje všechny sou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částky a že žádný z dílů nejeví známky poškození nebo vady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pokud sestavíte židli z vadných díl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následně dojde k jejímu většímu poškození, popř. ublížení na zdraví nebo poškození dalšího majetku, není za toto prodejce zodpovědný a na židli již nelze uplatnit právo z vadného plnění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pokud zákazník zjistí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vybalování jakékoli poškození, je povinen to ihned nahlásit prodejci a židli do vyřešení problému nepoužívat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kancelá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řskou židli nikdy nepoužívejte k jinému účelu než je určena, pokud dojde k jejímu poškození v důsledku nesprávného použití nelze na toto poškození uplatnit právo z vadného plnění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židli nikdy nestoupejte, nepoužívejte ji jako sch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ůdky, nezatěžujte ji vyšší hmotností, než pro kterou byla určena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kancelá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řská židle není hračka, neměli by k ní tedy mít přístup děti bez přítomnosti dospělého, mohli by přijít k úrazu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kancelá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řské židle jsou zkoušeny na běžném zátěžovém koberci určeném pro kanceláře, není možné garantovat, že kolečka budou stejně dobře fungovat na dalším typu podlah, pokud je problém s pohybem koleček doporučujeme zakoupit speciální kolečka určena pro Vaši podlahu nebo podložku pro kancelářské židle (oboje lze sehnat ve specializovaném obchodě pro kancelářskou techniku)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SEZNAM DÍL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329" w:dyaOrig="13034">
          <v:rect xmlns:o="urn:schemas-microsoft-com:office:office" xmlns:v="urn:schemas-microsoft-com:vml" id="rectole0000000001" style="width:316.450000pt;height:651.7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POSTUP SESTAVENÍ: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40" w:dyaOrig="9104">
          <v:rect xmlns:o="urn:schemas-microsoft-com:office:office" xmlns:v="urn:schemas-microsoft-com:vml" id="rectole0000000002" style="width:432.000000pt;height:455.2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